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23" w:right="0" w:firstLine="0"/>
        <w:jc w:val="left"/>
        <w:rPr>
          <w:sz w:val="16"/>
        </w:rPr>
      </w:pPr>
      <w:r>
        <w:rPr>
          <w:color w:val="4471C4"/>
          <w:sz w:val="44"/>
        </w:rPr>
        <w:t>Supply</w:t>
      </w:r>
      <w:r>
        <w:rPr>
          <w:color w:val="4471C4"/>
          <w:spacing w:val="-11"/>
          <w:sz w:val="44"/>
        </w:rPr>
        <w:t> </w:t>
      </w:r>
      <w:r>
        <w:rPr>
          <w:color w:val="4471C4"/>
          <w:sz w:val="44"/>
        </w:rPr>
        <w:t>Chain</w:t>
      </w:r>
      <w:r>
        <w:rPr>
          <w:color w:val="4471C4"/>
          <w:spacing w:val="-10"/>
          <w:sz w:val="44"/>
        </w:rPr>
        <w:t> </w:t>
      </w:r>
      <w:r>
        <w:rPr>
          <w:color w:val="4471C4"/>
          <w:sz w:val="44"/>
        </w:rPr>
        <w:t>Policy</w:t>
      </w:r>
      <w:r>
        <w:rPr>
          <w:color w:val="4471C4"/>
          <w:spacing w:val="-13"/>
          <w:sz w:val="44"/>
        </w:rPr>
        <w:t> </w:t>
      </w:r>
      <w:r>
        <w:rPr>
          <w:sz w:val="16"/>
        </w:rPr>
        <w:t>v.</w:t>
      </w:r>
      <w:r>
        <w:rPr>
          <w:spacing w:val="-5"/>
          <w:sz w:val="16"/>
        </w:rPr>
        <w:t> </w:t>
      </w:r>
      <w:r>
        <w:rPr>
          <w:sz w:val="16"/>
        </w:rPr>
        <w:t>Nov</w:t>
      </w:r>
      <w:r>
        <w:rPr>
          <w:spacing w:val="-4"/>
          <w:sz w:val="16"/>
        </w:rPr>
        <w:t> 2023</w:t>
      </w:r>
    </w:p>
    <w:p>
      <w:pPr>
        <w:spacing w:before="182"/>
        <w:ind w:left="23" w:right="7424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[Company</w:t>
      </w:r>
      <w:r>
        <w:rPr>
          <w:rFonts w:ascii="Arial"/>
          <w:b/>
          <w:spacing w:val="-14"/>
          <w:sz w:val="20"/>
        </w:rPr>
        <w:t> </w:t>
      </w:r>
      <w:r>
        <w:rPr>
          <w:rFonts w:ascii="Arial"/>
          <w:b/>
          <w:sz w:val="20"/>
        </w:rPr>
        <w:t>name] </w:t>
      </w:r>
      <w:r>
        <w:rPr>
          <w:rFonts w:ascii="Arial"/>
          <w:b/>
          <w:spacing w:val="-2"/>
          <w:sz w:val="20"/>
        </w:rPr>
        <w:t>[Address]</w:t>
      </w:r>
    </w:p>
    <w:p>
      <w:pPr>
        <w:pStyle w:val="BodyText"/>
        <w:spacing w:before="13"/>
        <w:ind w:left="0" w:firstLine="0"/>
        <w:rPr>
          <w:rFonts w:ascii="Arial"/>
          <w:b/>
          <w:sz w:val="20"/>
        </w:rPr>
      </w:pPr>
    </w:p>
    <w:p>
      <w:pPr>
        <w:pStyle w:val="Heading1"/>
      </w:pPr>
      <w:r>
        <w:rPr/>
        <w:t>Our</w:t>
      </w:r>
      <w:r>
        <w:rPr>
          <w:spacing w:val="17"/>
        </w:rPr>
        <w:t> </w:t>
      </w:r>
      <w:r>
        <w:rPr>
          <w:spacing w:val="-2"/>
        </w:rPr>
        <w:t>commitments</w:t>
      </w:r>
    </w:p>
    <w:p>
      <w:pPr>
        <w:spacing w:before="146"/>
        <w:ind w:left="23" w:right="0" w:firstLine="0"/>
        <w:jc w:val="left"/>
        <w:rPr>
          <w:rFonts w:ascii="Arial"/>
          <w:b/>
          <w:i/>
          <w:sz w:val="22"/>
        </w:rPr>
      </w:pPr>
      <w:r>
        <w:rPr>
          <w:rFonts w:ascii="Arial"/>
          <w:b/>
          <w:i/>
          <w:sz w:val="22"/>
        </w:rPr>
        <w:t>[Insert</w:t>
      </w:r>
      <w:r>
        <w:rPr>
          <w:rFonts w:ascii="Arial"/>
          <w:b/>
          <w:i/>
          <w:spacing w:val="-4"/>
          <w:sz w:val="22"/>
        </w:rPr>
        <w:t> </w:t>
      </w:r>
      <w:r>
        <w:rPr>
          <w:rFonts w:ascii="Arial"/>
          <w:b/>
          <w:i/>
          <w:sz w:val="22"/>
        </w:rPr>
        <w:t>Introductory</w:t>
      </w:r>
      <w:r>
        <w:rPr>
          <w:rFonts w:ascii="Arial"/>
          <w:b/>
          <w:i/>
          <w:spacing w:val="-3"/>
          <w:sz w:val="22"/>
        </w:rPr>
        <w:t> </w:t>
      </w:r>
      <w:r>
        <w:rPr>
          <w:rFonts w:ascii="Arial"/>
          <w:b/>
          <w:i/>
          <w:sz w:val="22"/>
        </w:rPr>
        <w:t>paragraph</w:t>
      </w:r>
      <w:r>
        <w:rPr>
          <w:rFonts w:ascii="Arial"/>
          <w:b/>
          <w:i/>
          <w:spacing w:val="-3"/>
          <w:sz w:val="22"/>
        </w:rPr>
        <w:t> </w:t>
      </w:r>
      <w:r>
        <w:rPr>
          <w:rFonts w:ascii="Arial"/>
          <w:b/>
          <w:i/>
          <w:sz w:val="22"/>
        </w:rPr>
        <w:t>outlining</w:t>
      </w:r>
      <w:r>
        <w:rPr>
          <w:rFonts w:ascii="Arial"/>
          <w:b/>
          <w:i/>
          <w:spacing w:val="-6"/>
          <w:sz w:val="22"/>
        </w:rPr>
        <w:t> </w:t>
      </w:r>
      <w:r>
        <w:rPr>
          <w:rFonts w:ascii="Arial"/>
          <w:b/>
          <w:i/>
          <w:sz w:val="22"/>
        </w:rPr>
        <w:t>why</w:t>
      </w:r>
      <w:r>
        <w:rPr>
          <w:rFonts w:ascii="Arial"/>
          <w:b/>
          <w:i/>
          <w:spacing w:val="-6"/>
          <w:sz w:val="22"/>
        </w:rPr>
        <w:t> </w:t>
      </w:r>
      <w:r>
        <w:rPr>
          <w:rFonts w:ascii="Arial"/>
          <w:b/>
          <w:i/>
          <w:sz w:val="22"/>
        </w:rPr>
        <w:t>company</w:t>
      </w:r>
      <w:r>
        <w:rPr>
          <w:rFonts w:ascii="Arial"/>
          <w:b/>
          <w:i/>
          <w:spacing w:val="-3"/>
          <w:sz w:val="22"/>
        </w:rPr>
        <w:t> </w:t>
      </w:r>
      <w:r>
        <w:rPr>
          <w:rFonts w:ascii="Arial"/>
          <w:b/>
          <w:i/>
          <w:sz w:val="22"/>
        </w:rPr>
        <w:t>attaches</w:t>
      </w:r>
      <w:r>
        <w:rPr>
          <w:rFonts w:ascii="Arial"/>
          <w:b/>
          <w:i/>
          <w:spacing w:val="-5"/>
          <w:sz w:val="22"/>
        </w:rPr>
        <w:t> </w:t>
      </w:r>
      <w:r>
        <w:rPr>
          <w:rFonts w:ascii="Arial"/>
          <w:b/>
          <w:i/>
          <w:sz w:val="22"/>
        </w:rPr>
        <w:t>importance</w:t>
      </w:r>
      <w:r>
        <w:rPr>
          <w:rFonts w:ascii="Arial"/>
          <w:b/>
          <w:i/>
          <w:spacing w:val="-5"/>
          <w:sz w:val="22"/>
        </w:rPr>
        <w:t> </w:t>
      </w:r>
      <w:r>
        <w:rPr>
          <w:rFonts w:ascii="Arial"/>
          <w:b/>
          <w:i/>
          <w:sz w:val="22"/>
        </w:rPr>
        <w:t>to responsible business conduct.]</w:t>
      </w:r>
    </w:p>
    <w:p>
      <w:pPr>
        <w:pStyle w:val="BodyText"/>
        <w:spacing w:before="120"/>
        <w:ind w:left="23" w:right="24" w:firstLine="0"/>
      </w:pPr>
      <w:r>
        <w:rPr/>
        <w:t>We understand that risks for corruption, money laundering, conflict financing, and adverse human rights and environmental impacts exist throughout diamond supply chains. We commit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identifying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mitigating</w:t>
      </w:r>
      <w:r>
        <w:rPr>
          <w:spacing w:val="-2"/>
        </w:rPr>
        <w:t> </w:t>
      </w:r>
      <w:r>
        <w:rPr/>
        <w:t>these</w:t>
      </w:r>
      <w:r>
        <w:rPr>
          <w:spacing w:val="-4"/>
        </w:rPr>
        <w:t> </w:t>
      </w:r>
      <w:r>
        <w:rPr/>
        <w:t>risks,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expect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same</w:t>
      </w:r>
      <w:r>
        <w:rPr>
          <w:spacing w:val="-4"/>
        </w:rPr>
        <w:t> </w:t>
      </w:r>
      <w:r>
        <w:rPr/>
        <w:t>commitment</w:t>
      </w:r>
      <w:r>
        <w:rPr>
          <w:spacing w:val="-3"/>
        </w:rPr>
        <w:t> </w:t>
      </w:r>
      <w:r>
        <w:rPr/>
        <w:t>from our suppliers.</w:t>
      </w:r>
    </w:p>
    <w:p>
      <w:pPr>
        <w:pStyle w:val="ListParagraph"/>
        <w:numPr>
          <w:ilvl w:val="0"/>
          <w:numId w:val="1"/>
        </w:numPr>
        <w:tabs>
          <w:tab w:pos="381" w:val="left" w:leader="none"/>
          <w:tab w:pos="383" w:val="left" w:leader="none"/>
        </w:tabs>
        <w:spacing w:line="259" w:lineRule="auto" w:before="122" w:after="0"/>
        <w:ind w:left="383" w:right="490" w:hanging="360"/>
        <w:jc w:val="left"/>
        <w:rPr>
          <w:sz w:val="22"/>
        </w:rPr>
      </w:pPr>
      <w:r>
        <w:rPr>
          <w:sz w:val="22"/>
        </w:rPr>
        <w:t>We commit to respecting international standards and legislation, including (but not limited to) the Universal Declaration of Human Rights, the International Labour Organization</w:t>
      </w:r>
      <w:r>
        <w:rPr>
          <w:spacing w:val="-4"/>
          <w:sz w:val="22"/>
        </w:rPr>
        <w:t> </w:t>
      </w:r>
      <w:r>
        <w:rPr>
          <w:sz w:val="22"/>
        </w:rPr>
        <w:t>(ILO)</w:t>
      </w:r>
      <w:r>
        <w:rPr>
          <w:spacing w:val="-2"/>
          <w:sz w:val="22"/>
        </w:rPr>
        <w:t> </w:t>
      </w:r>
      <w:r>
        <w:rPr>
          <w:sz w:val="22"/>
        </w:rPr>
        <w:t>Core</w:t>
      </w:r>
      <w:r>
        <w:rPr>
          <w:spacing w:val="-6"/>
          <w:sz w:val="22"/>
        </w:rPr>
        <w:t> </w:t>
      </w:r>
      <w:r>
        <w:rPr>
          <w:sz w:val="22"/>
        </w:rPr>
        <w:t>Labour</w:t>
      </w:r>
      <w:r>
        <w:rPr>
          <w:spacing w:val="-2"/>
          <w:sz w:val="22"/>
        </w:rPr>
        <w:t> </w:t>
      </w:r>
      <w:r>
        <w:rPr>
          <w:sz w:val="22"/>
        </w:rPr>
        <w:t>Conventions,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national</w:t>
      </w:r>
      <w:r>
        <w:rPr>
          <w:spacing w:val="-5"/>
          <w:sz w:val="22"/>
        </w:rPr>
        <w:t> </w:t>
      </w:r>
      <w:r>
        <w:rPr>
          <w:sz w:val="22"/>
        </w:rPr>
        <w:t>social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environmental </w:t>
      </w:r>
      <w:r>
        <w:rPr>
          <w:spacing w:val="-2"/>
          <w:sz w:val="22"/>
        </w:rPr>
        <w:t>legislation.</w:t>
      </w:r>
    </w:p>
    <w:p>
      <w:pPr>
        <w:pStyle w:val="ListParagraph"/>
        <w:numPr>
          <w:ilvl w:val="0"/>
          <w:numId w:val="1"/>
        </w:numPr>
        <w:tabs>
          <w:tab w:pos="381" w:val="left" w:leader="none"/>
          <w:tab w:pos="383" w:val="left" w:leader="none"/>
        </w:tabs>
        <w:spacing w:line="240" w:lineRule="auto" w:before="117" w:after="0"/>
        <w:ind w:left="383" w:right="382" w:hanging="360"/>
        <w:jc w:val="left"/>
        <w:rPr>
          <w:sz w:val="22"/>
        </w:rPr>
      </w:pPr>
      <w:r>
        <w:rPr>
          <w:sz w:val="22"/>
        </w:rPr>
        <w:t>We commit to supporting and contributing to efforts to eliminate risks for money laundering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terrorism</w:t>
      </w:r>
      <w:r>
        <w:rPr>
          <w:spacing w:val="-6"/>
          <w:sz w:val="22"/>
        </w:rPr>
        <w:t> </w:t>
      </w:r>
      <w:r>
        <w:rPr>
          <w:sz w:val="22"/>
        </w:rPr>
        <w:t>financing,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Money</w:t>
      </w:r>
      <w:r>
        <w:rPr>
          <w:spacing w:val="-3"/>
          <w:sz w:val="22"/>
        </w:rPr>
        <w:t> </w:t>
      </w:r>
      <w:r>
        <w:rPr>
          <w:sz w:val="22"/>
        </w:rPr>
        <w:t>Laundering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Anti-Terrorism </w:t>
      </w:r>
      <w:r>
        <w:rPr>
          <w:spacing w:val="-2"/>
          <w:sz w:val="22"/>
        </w:rPr>
        <w:t>Policy.</w:t>
      </w:r>
    </w:p>
    <w:p>
      <w:pPr>
        <w:pStyle w:val="ListParagraph"/>
        <w:numPr>
          <w:ilvl w:val="0"/>
          <w:numId w:val="1"/>
        </w:numPr>
        <w:tabs>
          <w:tab w:pos="381" w:val="left" w:leader="none"/>
          <w:tab w:pos="383" w:val="left" w:leader="none"/>
        </w:tabs>
        <w:spacing w:line="240" w:lineRule="auto" w:before="122" w:after="0"/>
        <w:ind w:left="383" w:right="395" w:hanging="360"/>
        <w:jc w:val="left"/>
        <w:rPr>
          <w:sz w:val="22"/>
        </w:rPr>
      </w:pPr>
      <w:r>
        <w:rPr>
          <w:sz w:val="22"/>
        </w:rPr>
        <w:t>We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engage</w:t>
      </w:r>
      <w:r>
        <w:rPr>
          <w:spacing w:val="-2"/>
          <w:sz w:val="22"/>
        </w:rPr>
        <w:t> </w:t>
      </w:r>
      <w:r>
        <w:rPr>
          <w:sz w:val="22"/>
        </w:rPr>
        <w:t>in-</w:t>
      </w:r>
      <w:r>
        <w:rPr>
          <w:spacing w:val="-3"/>
          <w:sz w:val="22"/>
        </w:rPr>
        <w:t> </w:t>
      </w:r>
      <w:r>
        <w:rPr>
          <w:sz w:val="22"/>
        </w:rPr>
        <w:t>nor</w:t>
      </w:r>
      <w:r>
        <w:rPr>
          <w:spacing w:val="-3"/>
          <w:sz w:val="22"/>
        </w:rPr>
        <w:t> </w:t>
      </w:r>
      <w:r>
        <w:rPr>
          <w:sz w:val="22"/>
        </w:rPr>
        <w:t>tolerate</w:t>
      </w:r>
      <w:r>
        <w:rPr>
          <w:spacing w:val="-4"/>
          <w:sz w:val="22"/>
        </w:rPr>
        <w:t> </w:t>
      </w:r>
      <w:r>
        <w:rPr>
          <w:sz w:val="22"/>
        </w:rPr>
        <w:t>corruption.</w:t>
      </w:r>
      <w:r>
        <w:rPr>
          <w:spacing w:val="-3"/>
          <w:sz w:val="22"/>
        </w:rPr>
        <w:t> </w:t>
      </w:r>
      <w:r>
        <w:rPr>
          <w:sz w:val="22"/>
        </w:rPr>
        <w:t>We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engage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bribery,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reject any request to conceal or disguise the origin or type of diamonds; or to misrepresent fees, royalties and taxes to be paid to authorities.</w:t>
      </w:r>
    </w:p>
    <w:p>
      <w:pPr>
        <w:pStyle w:val="ListParagraph"/>
        <w:numPr>
          <w:ilvl w:val="0"/>
          <w:numId w:val="1"/>
        </w:numPr>
        <w:tabs>
          <w:tab w:pos="379" w:val="left" w:leader="none"/>
          <w:tab w:pos="381" w:val="left" w:leader="none"/>
        </w:tabs>
        <w:spacing w:line="240" w:lineRule="auto" w:before="119" w:after="0"/>
        <w:ind w:left="381" w:right="223" w:hanging="358"/>
        <w:jc w:val="left"/>
        <w:rPr>
          <w:sz w:val="22"/>
        </w:rPr>
      </w:pPr>
      <w:r>
        <w:rPr>
          <w:sz w:val="22"/>
        </w:rPr>
        <w:t>We commit to carrying out due diligence in line with international standards. While this commitment is unwavering, capacity constraints and limited leverage over (some) business</w:t>
      </w:r>
      <w:r>
        <w:rPr>
          <w:spacing w:val="-2"/>
          <w:sz w:val="22"/>
        </w:rPr>
        <w:t> </w:t>
      </w:r>
      <w:r>
        <w:rPr>
          <w:sz w:val="22"/>
        </w:rPr>
        <w:t>partners</w:t>
      </w:r>
      <w:r>
        <w:rPr>
          <w:spacing w:val="-4"/>
          <w:sz w:val="22"/>
        </w:rPr>
        <w:t> </w:t>
      </w:r>
      <w:r>
        <w:rPr>
          <w:sz w:val="22"/>
        </w:rPr>
        <w:t>require</w:t>
      </w:r>
      <w:r>
        <w:rPr>
          <w:spacing w:val="-3"/>
          <w:sz w:val="22"/>
        </w:rPr>
        <w:t> </w:t>
      </w:r>
      <w:r>
        <w:rPr>
          <w:sz w:val="22"/>
        </w:rPr>
        <w:t>us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adopt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incremental</w:t>
      </w:r>
      <w:r>
        <w:rPr>
          <w:spacing w:val="-2"/>
          <w:sz w:val="22"/>
        </w:rPr>
        <w:t> </w:t>
      </w:r>
      <w:r>
        <w:rPr>
          <w:sz w:val="22"/>
        </w:rPr>
        <w:t>approach,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prioritize</w:t>
      </w:r>
      <w:r>
        <w:rPr>
          <w:spacing w:val="-2"/>
          <w:sz w:val="22"/>
        </w:rPr>
        <w:t> </w:t>
      </w:r>
      <w:r>
        <w:rPr>
          <w:sz w:val="22"/>
        </w:rPr>
        <w:t>certain actions over others. Over time, our due diligence efforts will become more </w:t>
      </w:r>
      <w:r>
        <w:rPr>
          <w:spacing w:val="-2"/>
          <w:sz w:val="22"/>
        </w:rPr>
        <w:t>encompassing.</w:t>
      </w:r>
    </w:p>
    <w:p>
      <w:pPr>
        <w:pStyle w:val="Heading1"/>
        <w:spacing w:before="243"/>
      </w:pPr>
      <w:r>
        <w:rPr/>
        <w:t>Our</w:t>
      </w:r>
      <w:r>
        <w:rPr>
          <w:spacing w:val="15"/>
        </w:rPr>
        <w:t> </w:t>
      </w:r>
      <w:r>
        <w:rPr>
          <w:spacing w:val="-2"/>
        </w:rPr>
        <w:t>actions</w:t>
      </w:r>
    </w:p>
    <w:p>
      <w:pPr>
        <w:pStyle w:val="ListParagraph"/>
        <w:numPr>
          <w:ilvl w:val="0"/>
          <w:numId w:val="2"/>
        </w:numPr>
        <w:tabs>
          <w:tab w:pos="381" w:val="left" w:leader="none"/>
          <w:tab w:pos="383" w:val="left" w:leader="none"/>
        </w:tabs>
        <w:spacing w:line="240" w:lineRule="auto" w:before="145" w:after="0"/>
        <w:ind w:left="383" w:right="16" w:hanging="360"/>
        <w:jc w:val="both"/>
        <w:rPr>
          <w:sz w:val="22"/>
        </w:rPr>
      </w:pPr>
      <w:r>
        <w:rPr>
          <w:sz w:val="22"/>
        </w:rPr>
        <w:t>We</w:t>
      </w:r>
      <w:r>
        <w:rPr>
          <w:spacing w:val="-8"/>
          <w:sz w:val="22"/>
        </w:rPr>
        <w:t> </w:t>
      </w:r>
      <w:r>
        <w:rPr>
          <w:sz w:val="22"/>
        </w:rPr>
        <w:t>only</w:t>
      </w:r>
      <w:r>
        <w:rPr>
          <w:spacing w:val="-11"/>
          <w:sz w:val="22"/>
        </w:rPr>
        <w:t> </w:t>
      </w:r>
      <w:r>
        <w:rPr>
          <w:sz w:val="22"/>
        </w:rPr>
        <w:t>source</w:t>
      </w:r>
      <w:r>
        <w:rPr>
          <w:spacing w:val="-11"/>
          <w:sz w:val="22"/>
        </w:rPr>
        <w:t> </w:t>
      </w:r>
      <w:r>
        <w:rPr>
          <w:sz w:val="22"/>
        </w:rPr>
        <w:t>rough</w:t>
      </w:r>
      <w:r>
        <w:rPr>
          <w:spacing w:val="-12"/>
          <w:sz w:val="22"/>
        </w:rPr>
        <w:t> </w:t>
      </w:r>
      <w:r>
        <w:rPr>
          <w:sz w:val="22"/>
        </w:rPr>
        <w:t>diamonds</w:t>
      </w:r>
      <w:r>
        <w:rPr>
          <w:spacing w:val="-11"/>
          <w:sz w:val="22"/>
        </w:rPr>
        <w:t> </w:t>
      </w:r>
      <w:r>
        <w:rPr>
          <w:sz w:val="22"/>
        </w:rPr>
        <w:t>that</w:t>
      </w:r>
      <w:r>
        <w:rPr>
          <w:spacing w:val="-7"/>
          <w:sz w:val="22"/>
        </w:rPr>
        <w:t> </w:t>
      </w:r>
      <w:r>
        <w:rPr>
          <w:sz w:val="22"/>
        </w:rPr>
        <w:t>have</w:t>
      </w:r>
      <w:r>
        <w:rPr>
          <w:spacing w:val="-11"/>
          <w:sz w:val="22"/>
        </w:rPr>
        <w:t> </w:t>
      </w:r>
      <w:r>
        <w:rPr>
          <w:sz w:val="22"/>
        </w:rPr>
        <w:t>been</w:t>
      </w:r>
      <w:r>
        <w:rPr>
          <w:spacing w:val="-12"/>
          <w:sz w:val="22"/>
        </w:rPr>
        <w:t> </w:t>
      </w:r>
      <w:r>
        <w:rPr>
          <w:sz w:val="22"/>
        </w:rPr>
        <w:t>purchased</w:t>
      </w:r>
      <w:r>
        <w:rPr>
          <w:spacing w:val="-9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z w:val="22"/>
        </w:rPr>
        <w:t>brought</w:t>
      </w:r>
      <w:r>
        <w:rPr>
          <w:spacing w:val="-10"/>
          <w:sz w:val="22"/>
        </w:rPr>
        <w:t> </w:t>
      </w:r>
      <w:r>
        <w:rPr>
          <w:sz w:val="22"/>
        </w:rPr>
        <w:t>into</w:t>
      </w:r>
      <w:r>
        <w:rPr>
          <w:spacing w:val="-9"/>
          <w:sz w:val="22"/>
        </w:rPr>
        <w:t> </w:t>
      </w: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EU</w:t>
      </w:r>
      <w:r>
        <w:rPr>
          <w:spacing w:val="-10"/>
          <w:sz w:val="22"/>
        </w:rPr>
        <w:t> </w:t>
      </w:r>
      <w:r>
        <w:rPr>
          <w:sz w:val="22"/>
        </w:rPr>
        <w:t>under the Kimberley Process Certification scheme, and that are therefore conflict-free in accordance with the Kimberley Process conflict definition.</w:t>
      </w:r>
    </w:p>
    <w:p>
      <w:pPr>
        <w:pStyle w:val="ListParagraph"/>
        <w:numPr>
          <w:ilvl w:val="0"/>
          <w:numId w:val="2"/>
        </w:numPr>
        <w:tabs>
          <w:tab w:pos="379" w:val="left" w:leader="none"/>
          <w:tab w:pos="381" w:val="left" w:leader="none"/>
        </w:tabs>
        <w:spacing w:line="240" w:lineRule="auto" w:before="120" w:after="0"/>
        <w:ind w:left="381" w:right="14" w:hanging="358"/>
        <w:jc w:val="both"/>
        <w:rPr>
          <w:sz w:val="22"/>
        </w:rPr>
      </w:pPr>
      <w:r>
        <w:rPr>
          <w:sz w:val="22"/>
        </w:rPr>
        <w:t>We stay informed about changing legal and operational due diligence requirements. We regularly</w:t>
      </w:r>
      <w:r>
        <w:rPr>
          <w:spacing w:val="-6"/>
          <w:sz w:val="22"/>
        </w:rPr>
        <w:t> </w:t>
      </w:r>
      <w:r>
        <w:rPr>
          <w:sz w:val="22"/>
        </w:rPr>
        <w:t>follow</w:t>
      </w:r>
      <w:r>
        <w:rPr>
          <w:spacing w:val="-5"/>
          <w:sz w:val="22"/>
        </w:rPr>
        <w:t> </w:t>
      </w:r>
      <w:r>
        <w:rPr>
          <w:sz w:val="22"/>
        </w:rPr>
        <w:t>trainings</w:t>
      </w:r>
      <w:r>
        <w:rPr>
          <w:spacing w:val="-6"/>
          <w:sz w:val="22"/>
        </w:rPr>
        <w:t> </w:t>
      </w:r>
      <w:r>
        <w:rPr>
          <w:sz w:val="22"/>
        </w:rPr>
        <w:t>provided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Antwerp</w:t>
      </w:r>
      <w:r>
        <w:rPr>
          <w:spacing w:val="-6"/>
          <w:sz w:val="22"/>
        </w:rPr>
        <w:t> </w:t>
      </w:r>
      <w:r>
        <w:rPr>
          <w:sz w:val="22"/>
        </w:rPr>
        <w:t>World</w:t>
      </w:r>
      <w:r>
        <w:rPr>
          <w:spacing w:val="-6"/>
          <w:sz w:val="22"/>
        </w:rPr>
        <w:t> </w:t>
      </w:r>
      <w:r>
        <w:rPr>
          <w:sz w:val="22"/>
        </w:rPr>
        <w:t>Diamond</w:t>
      </w:r>
      <w:r>
        <w:rPr>
          <w:spacing w:val="-7"/>
          <w:sz w:val="22"/>
        </w:rPr>
        <w:t> </w:t>
      </w:r>
      <w:r>
        <w:rPr>
          <w:sz w:val="22"/>
        </w:rPr>
        <w:t>Centre</w:t>
      </w:r>
      <w:r>
        <w:rPr>
          <w:spacing w:val="-9"/>
          <w:sz w:val="22"/>
        </w:rPr>
        <w:t> </w:t>
      </w:r>
      <w:r>
        <w:rPr>
          <w:sz w:val="22"/>
        </w:rPr>
        <w:t>(AWDC)</w:t>
      </w:r>
      <w:r>
        <w:rPr>
          <w:spacing w:val="-3"/>
          <w:sz w:val="22"/>
        </w:rPr>
        <w:t> </w:t>
      </w:r>
      <w:r>
        <w:rPr>
          <w:rFonts w:ascii="Arial"/>
          <w:b/>
          <w:sz w:val="22"/>
        </w:rPr>
        <w:t>[insert </w:t>
      </w:r>
      <w:r>
        <w:rPr>
          <w:rFonts w:ascii="Arial"/>
          <w:b/>
          <w:spacing w:val="-2"/>
          <w:sz w:val="22"/>
        </w:rPr>
        <w:t>other]</w:t>
      </w:r>
      <w:r>
        <w:rPr>
          <w:spacing w:val="-2"/>
          <w:sz w:val="22"/>
        </w:rPr>
        <w:t>.</w:t>
      </w:r>
    </w:p>
    <w:p>
      <w:pPr>
        <w:pStyle w:val="ListParagraph"/>
        <w:numPr>
          <w:ilvl w:val="0"/>
          <w:numId w:val="2"/>
        </w:numPr>
        <w:tabs>
          <w:tab w:pos="381" w:val="left" w:leader="none"/>
          <w:tab w:pos="383" w:val="left" w:leader="none"/>
        </w:tabs>
        <w:spacing w:line="240" w:lineRule="auto" w:before="120" w:after="0"/>
        <w:ind w:left="383" w:right="20" w:hanging="360"/>
        <w:jc w:val="both"/>
        <w:rPr>
          <w:sz w:val="22"/>
        </w:rPr>
      </w:pPr>
      <w:r>
        <w:rPr>
          <w:sz w:val="22"/>
        </w:rPr>
        <w:t>We constantly improve our understanding of the origin of our diamonds on the basis of information provided by our suppliers </w:t>
      </w:r>
      <w:r>
        <w:rPr>
          <w:rFonts w:ascii="Arial"/>
          <w:b/>
          <w:sz w:val="22"/>
        </w:rPr>
        <w:t>[insert other]</w:t>
      </w:r>
      <w:r>
        <w:rPr>
          <w:sz w:val="22"/>
        </w:rPr>
        <w:t>.</w:t>
      </w:r>
    </w:p>
    <w:p>
      <w:pPr>
        <w:pStyle w:val="ListParagraph"/>
        <w:numPr>
          <w:ilvl w:val="0"/>
          <w:numId w:val="2"/>
        </w:numPr>
        <w:tabs>
          <w:tab w:pos="379" w:val="left" w:leader="none"/>
        </w:tabs>
        <w:spacing w:line="240" w:lineRule="auto" w:before="120" w:after="0"/>
        <w:ind w:left="379" w:right="0" w:hanging="356"/>
        <w:jc w:val="both"/>
        <w:rPr>
          <w:sz w:val="22"/>
        </w:rPr>
      </w:pPr>
      <w:r>
        <w:rPr>
          <w:sz w:val="22"/>
        </w:rPr>
        <w:t>We</w:t>
      </w:r>
      <w:r>
        <w:rPr>
          <w:spacing w:val="-7"/>
          <w:sz w:val="22"/>
        </w:rPr>
        <w:t> </w:t>
      </w:r>
      <w:r>
        <w:rPr>
          <w:sz w:val="22"/>
        </w:rPr>
        <w:t>participate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industry-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8"/>
          <w:sz w:val="22"/>
        </w:rPr>
        <w:t> </w:t>
      </w:r>
      <w:r>
        <w:rPr>
          <w:sz w:val="22"/>
        </w:rPr>
        <w:t>multi-stakeholder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initiatives: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</w:tabs>
        <w:spacing w:line="240" w:lineRule="auto" w:before="119" w:after="0"/>
        <w:ind w:left="730" w:right="0" w:hanging="359"/>
        <w:jc w:val="both"/>
        <w:rPr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Kimberley</w:t>
      </w:r>
      <w:r>
        <w:rPr>
          <w:spacing w:val="-8"/>
          <w:sz w:val="22"/>
        </w:rPr>
        <w:t> </w:t>
      </w:r>
      <w:r>
        <w:rPr>
          <w:sz w:val="22"/>
        </w:rPr>
        <w:t>Process</w:t>
      </w:r>
      <w:r>
        <w:rPr>
          <w:spacing w:val="-9"/>
          <w:sz w:val="22"/>
        </w:rPr>
        <w:t> </w:t>
      </w:r>
      <w:r>
        <w:rPr>
          <w:sz w:val="22"/>
        </w:rPr>
        <w:t>Certification</w:t>
      </w:r>
      <w:r>
        <w:rPr>
          <w:spacing w:val="-7"/>
          <w:sz w:val="22"/>
        </w:rPr>
        <w:t> </w:t>
      </w:r>
      <w:r>
        <w:rPr>
          <w:sz w:val="22"/>
        </w:rPr>
        <w:t>Scheme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(KPCS);</w:t>
      </w:r>
    </w:p>
    <w:p>
      <w:pPr>
        <w:pStyle w:val="ListParagraph"/>
        <w:numPr>
          <w:ilvl w:val="1"/>
          <w:numId w:val="2"/>
        </w:numPr>
        <w:tabs>
          <w:tab w:pos="730" w:val="left" w:leader="none"/>
        </w:tabs>
        <w:spacing w:line="240" w:lineRule="auto" w:before="4" w:after="0"/>
        <w:ind w:left="730" w:right="0" w:hanging="359"/>
        <w:jc w:val="both"/>
        <w:rPr>
          <w:sz w:val="22"/>
        </w:rPr>
      </w:pPr>
      <w:r>
        <w:rPr>
          <w:spacing w:val="-2"/>
          <w:sz w:val="22"/>
        </w:rPr>
        <w:t>Triple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control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measures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on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diamond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imports/exports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performed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by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Diamond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Office;</w:t>
      </w:r>
    </w:p>
    <w:p>
      <w:pPr>
        <w:pStyle w:val="ListParagraph"/>
        <w:numPr>
          <w:ilvl w:val="1"/>
          <w:numId w:val="2"/>
        </w:numPr>
        <w:tabs>
          <w:tab w:pos="731" w:val="left" w:leader="none"/>
        </w:tabs>
        <w:spacing w:line="240" w:lineRule="auto" w:before="4" w:after="0"/>
        <w:ind w:left="731" w:right="13" w:hanging="360"/>
        <w:jc w:val="both"/>
        <w:rPr>
          <w:sz w:val="22"/>
        </w:rPr>
      </w:pPr>
      <w:r>
        <w:rPr>
          <w:sz w:val="22"/>
        </w:rPr>
        <w:t>The World</w:t>
      </w:r>
      <w:r>
        <w:rPr>
          <w:spacing w:val="-2"/>
          <w:sz w:val="22"/>
        </w:rPr>
        <w:t> </w:t>
      </w:r>
      <w:r>
        <w:rPr>
          <w:sz w:val="22"/>
        </w:rPr>
        <w:t>Diamond Council System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Warranties (SoW), which</w:t>
      </w:r>
      <w:r>
        <w:rPr>
          <w:spacing w:val="-1"/>
          <w:sz w:val="22"/>
        </w:rPr>
        <w:t> </w:t>
      </w:r>
      <w:r>
        <w:rPr>
          <w:sz w:val="22"/>
        </w:rPr>
        <w:t>requires</w:t>
      </w:r>
      <w:r>
        <w:rPr>
          <w:spacing w:val="-1"/>
          <w:sz w:val="22"/>
        </w:rPr>
        <w:t> </w:t>
      </w:r>
      <w:r>
        <w:rPr>
          <w:sz w:val="22"/>
        </w:rPr>
        <w:t>buyers and sellers of rough and polished diamonds, and jewelry containing diamonds, to issue statements on</w:t>
      </w:r>
      <w:r>
        <w:rPr>
          <w:spacing w:val="-2"/>
          <w:sz w:val="22"/>
        </w:rPr>
        <w:t> </w:t>
      </w:r>
      <w:r>
        <w:rPr>
          <w:sz w:val="22"/>
        </w:rPr>
        <w:t>invoices</w:t>
      </w:r>
      <w:r>
        <w:rPr>
          <w:spacing w:val="-1"/>
          <w:sz w:val="22"/>
        </w:rPr>
        <w:t> </w:t>
      </w:r>
      <w:r>
        <w:rPr>
          <w:sz w:val="22"/>
        </w:rPr>
        <w:t>and memos</w:t>
      </w:r>
      <w:r>
        <w:rPr>
          <w:spacing w:val="-4"/>
          <w:sz w:val="22"/>
        </w:rPr>
        <w:t> </w:t>
      </w:r>
      <w:r>
        <w:rPr>
          <w:sz w:val="22"/>
        </w:rPr>
        <w:t>that the</w:t>
      </w:r>
      <w:r>
        <w:rPr>
          <w:spacing w:val="-2"/>
          <w:sz w:val="22"/>
        </w:rPr>
        <w:t> </w:t>
      </w:r>
      <w:r>
        <w:rPr>
          <w:sz w:val="22"/>
        </w:rPr>
        <w:t>goods (1) comply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KPCS; and</w:t>
      </w:r>
      <w:r>
        <w:rPr>
          <w:spacing w:val="-2"/>
          <w:sz w:val="22"/>
        </w:rPr>
        <w:t> </w:t>
      </w:r>
      <w:r>
        <w:rPr>
          <w:sz w:val="22"/>
        </w:rPr>
        <w:t>(2) were handled in accordance with international standards on human rights, AML, and </w:t>
      </w:r>
      <w:r>
        <w:rPr>
          <w:spacing w:val="-2"/>
          <w:sz w:val="22"/>
        </w:rPr>
        <w:t>anti-corruption;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900" w:bottom="280" w:left="1417" w:right="1417"/>
        </w:sectPr>
      </w:pPr>
    </w:p>
    <w:p>
      <w:pPr>
        <w:pStyle w:val="ListParagraph"/>
        <w:numPr>
          <w:ilvl w:val="1"/>
          <w:numId w:val="2"/>
        </w:numPr>
        <w:tabs>
          <w:tab w:pos="731" w:val="left" w:leader="none"/>
        </w:tabs>
        <w:spacing w:line="240" w:lineRule="auto" w:before="67" w:after="0"/>
        <w:ind w:left="731" w:right="22" w:hanging="360"/>
        <w:jc w:val="left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The</w:t>
      </w:r>
      <w:r>
        <w:rPr>
          <w:rFonts w:ascii="Arial" w:hAnsi="Arial"/>
          <w:b/>
          <w:i/>
          <w:spacing w:val="37"/>
          <w:sz w:val="22"/>
        </w:rPr>
        <w:t> </w:t>
      </w:r>
      <w:r>
        <w:rPr>
          <w:rFonts w:ascii="Arial" w:hAnsi="Arial"/>
          <w:b/>
          <w:i/>
          <w:sz w:val="22"/>
        </w:rPr>
        <w:t>Responsible</w:t>
      </w:r>
      <w:r>
        <w:rPr>
          <w:rFonts w:ascii="Arial" w:hAnsi="Arial"/>
          <w:b/>
          <w:i/>
          <w:spacing w:val="37"/>
          <w:sz w:val="22"/>
        </w:rPr>
        <w:t> </w:t>
      </w:r>
      <w:r>
        <w:rPr>
          <w:rFonts w:ascii="Arial" w:hAnsi="Arial"/>
          <w:b/>
          <w:i/>
          <w:sz w:val="22"/>
        </w:rPr>
        <w:t>Jewellery</w:t>
      </w:r>
      <w:r>
        <w:rPr>
          <w:rFonts w:ascii="Arial" w:hAnsi="Arial"/>
          <w:b/>
          <w:i/>
          <w:spacing w:val="34"/>
          <w:sz w:val="22"/>
        </w:rPr>
        <w:t> </w:t>
      </w:r>
      <w:r>
        <w:rPr>
          <w:rFonts w:ascii="Arial" w:hAnsi="Arial"/>
          <w:b/>
          <w:i/>
          <w:sz w:val="22"/>
        </w:rPr>
        <w:t>Council</w:t>
      </w:r>
      <w:r>
        <w:rPr>
          <w:rFonts w:ascii="Arial" w:hAnsi="Arial"/>
          <w:b/>
          <w:i/>
          <w:spacing w:val="38"/>
          <w:sz w:val="22"/>
        </w:rPr>
        <w:t> </w:t>
      </w:r>
      <w:r>
        <w:rPr>
          <w:rFonts w:ascii="Arial" w:hAnsi="Arial"/>
          <w:b/>
          <w:i/>
          <w:sz w:val="22"/>
        </w:rPr>
        <w:t>(RJC).</w:t>
      </w:r>
      <w:r>
        <w:rPr>
          <w:rFonts w:ascii="Arial" w:hAnsi="Arial"/>
          <w:b/>
          <w:i/>
          <w:spacing w:val="38"/>
          <w:sz w:val="22"/>
        </w:rPr>
        <w:t> </w:t>
      </w:r>
      <w:r>
        <w:rPr>
          <w:rFonts w:ascii="Arial" w:hAnsi="Arial"/>
          <w:b/>
          <w:i/>
          <w:sz w:val="22"/>
        </w:rPr>
        <w:t>We</w:t>
      </w:r>
      <w:r>
        <w:rPr>
          <w:rFonts w:ascii="Arial" w:hAnsi="Arial"/>
          <w:b/>
          <w:i/>
          <w:spacing w:val="36"/>
          <w:sz w:val="22"/>
        </w:rPr>
        <w:t> </w:t>
      </w:r>
      <w:r>
        <w:rPr>
          <w:rFonts w:ascii="Arial" w:hAnsi="Arial"/>
          <w:b/>
          <w:i/>
          <w:sz w:val="22"/>
        </w:rPr>
        <w:t>comply</w:t>
      </w:r>
      <w:r>
        <w:rPr>
          <w:rFonts w:ascii="Arial" w:hAnsi="Arial"/>
          <w:b/>
          <w:i/>
          <w:spacing w:val="34"/>
          <w:sz w:val="22"/>
        </w:rPr>
        <w:t> </w:t>
      </w:r>
      <w:r>
        <w:rPr>
          <w:rFonts w:ascii="Arial" w:hAnsi="Arial"/>
          <w:b/>
          <w:i/>
          <w:sz w:val="22"/>
        </w:rPr>
        <w:t>with</w:t>
      </w:r>
      <w:r>
        <w:rPr>
          <w:rFonts w:ascii="Arial" w:hAnsi="Arial"/>
          <w:b/>
          <w:i/>
          <w:spacing w:val="34"/>
          <w:sz w:val="22"/>
        </w:rPr>
        <w:t> </w:t>
      </w:r>
      <w:r>
        <w:rPr>
          <w:rFonts w:ascii="Arial" w:hAnsi="Arial"/>
          <w:b/>
          <w:i/>
          <w:sz w:val="22"/>
        </w:rPr>
        <w:t>the</w:t>
      </w:r>
      <w:r>
        <w:rPr>
          <w:rFonts w:ascii="Arial" w:hAnsi="Arial"/>
          <w:b/>
          <w:i/>
          <w:spacing w:val="36"/>
          <w:sz w:val="22"/>
        </w:rPr>
        <w:t> </w:t>
      </w:r>
      <w:r>
        <w:rPr>
          <w:rFonts w:ascii="Arial" w:hAnsi="Arial"/>
          <w:b/>
          <w:i/>
          <w:sz w:val="22"/>
        </w:rPr>
        <w:t>RJC</w:t>
      </w:r>
      <w:r>
        <w:rPr>
          <w:rFonts w:ascii="Arial" w:hAnsi="Arial"/>
          <w:b/>
          <w:i/>
          <w:spacing w:val="36"/>
          <w:sz w:val="22"/>
        </w:rPr>
        <w:t> </w:t>
      </w:r>
      <w:r>
        <w:rPr>
          <w:rFonts w:ascii="Arial" w:hAnsi="Arial"/>
          <w:b/>
          <w:i/>
          <w:sz w:val="22"/>
        </w:rPr>
        <w:t>Code</w:t>
      </w:r>
      <w:r>
        <w:rPr>
          <w:rFonts w:ascii="Arial" w:hAnsi="Arial"/>
          <w:b/>
          <w:i/>
          <w:spacing w:val="36"/>
          <w:sz w:val="22"/>
        </w:rPr>
        <w:t> </w:t>
      </w:r>
      <w:r>
        <w:rPr>
          <w:rFonts w:ascii="Arial" w:hAnsi="Arial"/>
          <w:b/>
          <w:i/>
          <w:sz w:val="22"/>
        </w:rPr>
        <w:t>of Practices, which includes extensive due diligence requirements.</w:t>
      </w:r>
    </w:p>
    <w:p>
      <w:pPr>
        <w:pStyle w:val="ListParagraph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[insert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pacing w:val="-2"/>
          <w:sz w:val="22"/>
        </w:rPr>
        <w:t>other]</w:t>
      </w:r>
    </w:p>
    <w:p>
      <w:pPr>
        <w:pStyle w:val="ListParagraph"/>
        <w:numPr>
          <w:ilvl w:val="0"/>
          <w:numId w:val="1"/>
        </w:numPr>
        <w:tabs>
          <w:tab w:pos="381" w:val="left" w:leader="none"/>
          <w:tab w:pos="383" w:val="left" w:leader="none"/>
        </w:tabs>
        <w:spacing w:line="240" w:lineRule="auto" w:before="119" w:after="0"/>
        <w:ind w:left="383" w:right="16" w:hanging="36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[We are looking into opportunities to source responsibly from artisanal diamond</w:t>
      </w:r>
      <w:r>
        <w:rPr>
          <w:rFonts w:ascii="Arial"/>
          <w:b/>
          <w:spacing w:val="40"/>
          <w:sz w:val="22"/>
        </w:rPr>
        <w:t> </w:t>
      </w:r>
      <w:r>
        <w:rPr>
          <w:rFonts w:ascii="Arial"/>
          <w:b/>
          <w:sz w:val="22"/>
        </w:rPr>
        <w:t>mines (specify)].</w:t>
      </w:r>
    </w:p>
    <w:p>
      <w:pPr>
        <w:pStyle w:val="ListParagraph"/>
        <w:numPr>
          <w:ilvl w:val="0"/>
          <w:numId w:val="1"/>
        </w:numPr>
        <w:tabs>
          <w:tab w:pos="381" w:val="left" w:leader="none"/>
        </w:tabs>
        <w:spacing w:line="240" w:lineRule="auto" w:before="120" w:after="0"/>
        <w:ind w:left="381" w:right="0" w:hanging="358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[insert</w:t>
      </w:r>
      <w:r>
        <w:rPr>
          <w:rFonts w:ascii="Arial"/>
          <w:b/>
          <w:spacing w:val="-7"/>
          <w:sz w:val="22"/>
        </w:rPr>
        <w:t> </w:t>
      </w:r>
      <w:r>
        <w:rPr>
          <w:rFonts w:ascii="Arial"/>
          <w:b/>
          <w:spacing w:val="-2"/>
          <w:sz w:val="22"/>
        </w:rPr>
        <w:t>other]</w:t>
      </w:r>
    </w:p>
    <w:p>
      <w:pPr>
        <w:pStyle w:val="Heading1"/>
        <w:spacing w:before="244"/>
      </w:pPr>
      <w:r>
        <w:rPr/>
        <w:t>Monitoring</w:t>
      </w:r>
      <w:r>
        <w:rPr>
          <w:spacing w:val="29"/>
        </w:rPr>
        <w:t> </w:t>
      </w:r>
      <w:r>
        <w:rPr/>
        <w:t>and</w:t>
      </w:r>
      <w:r>
        <w:rPr>
          <w:spacing w:val="32"/>
        </w:rPr>
        <w:t> </w:t>
      </w:r>
      <w:r>
        <w:rPr>
          <w:spacing w:val="-2"/>
        </w:rPr>
        <w:t>compliance</w:t>
      </w:r>
    </w:p>
    <w:p>
      <w:pPr>
        <w:pStyle w:val="BodyText"/>
        <w:spacing w:before="143"/>
        <w:ind w:left="23" w:firstLine="0"/>
      </w:pPr>
      <w:r>
        <w:rPr/>
        <w:t>We</w:t>
      </w:r>
      <w:r>
        <w:rPr>
          <w:spacing w:val="75"/>
        </w:rPr>
        <w:t> </w:t>
      </w:r>
      <w:r>
        <w:rPr/>
        <w:t>monitor</w:t>
      </w:r>
      <w:r>
        <w:rPr>
          <w:spacing w:val="73"/>
        </w:rPr>
        <w:t> </w:t>
      </w:r>
      <w:r>
        <w:rPr/>
        <w:t>compliance</w:t>
      </w:r>
      <w:r>
        <w:rPr>
          <w:spacing w:val="74"/>
        </w:rPr>
        <w:t> </w:t>
      </w:r>
      <w:r>
        <w:rPr/>
        <w:t>with</w:t>
      </w:r>
      <w:r>
        <w:rPr>
          <w:spacing w:val="75"/>
        </w:rPr>
        <w:t> </w:t>
      </w:r>
      <w:r>
        <w:rPr/>
        <w:t>this</w:t>
      </w:r>
      <w:r>
        <w:rPr>
          <w:spacing w:val="75"/>
        </w:rPr>
        <w:t> </w:t>
      </w:r>
      <w:r>
        <w:rPr/>
        <w:t>policy</w:t>
      </w:r>
      <w:r>
        <w:rPr>
          <w:spacing w:val="76"/>
        </w:rPr>
        <w:t> </w:t>
      </w:r>
      <w:r>
        <w:rPr/>
        <w:t>on</w:t>
      </w:r>
      <w:r>
        <w:rPr>
          <w:spacing w:val="72"/>
        </w:rPr>
        <w:t> </w:t>
      </w:r>
      <w:r>
        <w:rPr/>
        <w:t>the</w:t>
      </w:r>
      <w:r>
        <w:rPr>
          <w:spacing w:val="75"/>
        </w:rPr>
        <w:t> </w:t>
      </w:r>
      <w:r>
        <w:rPr/>
        <w:t>part</w:t>
      </w:r>
      <w:r>
        <w:rPr>
          <w:spacing w:val="74"/>
        </w:rPr>
        <w:t> </w:t>
      </w:r>
      <w:r>
        <w:rPr/>
        <w:t>of</w:t>
      </w:r>
      <w:r>
        <w:rPr>
          <w:spacing w:val="73"/>
        </w:rPr>
        <w:t> </w:t>
      </w:r>
      <w:r>
        <w:rPr/>
        <w:t>our</w:t>
      </w:r>
      <w:r>
        <w:rPr>
          <w:spacing w:val="76"/>
        </w:rPr>
        <w:t> </w:t>
      </w:r>
      <w:r>
        <w:rPr/>
        <w:t>suppliers</w:t>
      </w:r>
      <w:r>
        <w:rPr>
          <w:spacing w:val="74"/>
        </w:rPr>
        <w:t> </w:t>
      </w:r>
      <w:r>
        <w:rPr/>
        <w:t>through</w:t>
      </w:r>
      <w:r>
        <w:rPr>
          <w:spacing w:val="72"/>
        </w:rPr>
        <w:t> </w:t>
      </w:r>
      <w:r>
        <w:rPr/>
        <w:t>(</w:t>
      </w:r>
      <w:r>
        <w:rPr>
          <w:rFonts w:ascii="Arial"/>
          <w:b/>
        </w:rPr>
        <w:t>select </w:t>
      </w:r>
      <w:r>
        <w:rPr>
          <w:rFonts w:ascii="Arial"/>
          <w:b/>
          <w:spacing w:val="-2"/>
        </w:rPr>
        <w:t>appropriate</w:t>
      </w:r>
      <w:r>
        <w:rPr>
          <w:spacing w:val="-2"/>
        </w:rPr>
        <w:t>):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121" w:after="0"/>
        <w:ind w:left="731" w:right="0" w:hanging="360"/>
        <w:jc w:val="left"/>
        <w:rPr>
          <w:sz w:val="22"/>
        </w:rPr>
      </w:pPr>
      <w:r>
        <w:rPr>
          <w:sz w:val="22"/>
        </w:rPr>
        <w:t>Direct</w:t>
      </w:r>
      <w:r>
        <w:rPr>
          <w:spacing w:val="-8"/>
          <w:sz w:val="22"/>
        </w:rPr>
        <w:t> </w:t>
      </w:r>
      <w:r>
        <w:rPr>
          <w:sz w:val="22"/>
        </w:rPr>
        <w:t>communication</w:t>
      </w:r>
      <w:r>
        <w:rPr>
          <w:spacing w:val="-10"/>
          <w:sz w:val="22"/>
        </w:rPr>
        <w:t> </w:t>
      </w:r>
      <w:r>
        <w:rPr>
          <w:sz w:val="22"/>
        </w:rPr>
        <w:t>(e-mail,</w:t>
      </w:r>
      <w:r>
        <w:rPr>
          <w:spacing w:val="-10"/>
          <w:sz w:val="22"/>
        </w:rPr>
        <w:t> </w:t>
      </w:r>
      <w:r>
        <w:rPr>
          <w:sz w:val="22"/>
        </w:rPr>
        <w:t>meetings,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…);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4" w:after="0"/>
        <w:ind w:left="731" w:right="0" w:hanging="360"/>
        <w:jc w:val="left"/>
        <w:rPr>
          <w:sz w:val="22"/>
        </w:rPr>
      </w:pPr>
      <w:r>
        <w:rPr>
          <w:spacing w:val="-2"/>
          <w:sz w:val="22"/>
        </w:rPr>
        <w:t>Questionnaires</w:t>
      </w:r>
      <w:r>
        <w:rPr>
          <w:color w:val="006FC0"/>
          <w:spacing w:val="-2"/>
          <w:sz w:val="22"/>
        </w:rPr>
        <w:t>;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4" w:after="0"/>
        <w:ind w:left="731" w:right="0" w:hanging="360"/>
        <w:jc w:val="left"/>
        <w:rPr>
          <w:sz w:val="22"/>
        </w:rPr>
      </w:pPr>
      <w:r>
        <w:rPr>
          <w:sz w:val="22"/>
        </w:rPr>
        <w:t>Compliance</w:t>
      </w:r>
      <w:r>
        <w:rPr>
          <w:spacing w:val="-6"/>
          <w:sz w:val="22"/>
        </w:rPr>
        <w:t> </w:t>
      </w:r>
      <w:r>
        <w:rPr>
          <w:sz w:val="22"/>
        </w:rPr>
        <w:t>catalyst</w:t>
      </w:r>
      <w:r>
        <w:rPr>
          <w:spacing w:val="-7"/>
          <w:sz w:val="22"/>
        </w:rPr>
        <w:t> </w:t>
      </w:r>
      <w:r>
        <w:rPr>
          <w:sz w:val="22"/>
        </w:rPr>
        <w:t>(Bureau</w:t>
      </w:r>
      <w:r>
        <w:rPr>
          <w:spacing w:val="-6"/>
          <w:sz w:val="22"/>
        </w:rPr>
        <w:t> </w:t>
      </w:r>
      <w:r>
        <w:rPr>
          <w:sz w:val="22"/>
        </w:rPr>
        <w:t>van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Dijk);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4" w:after="0"/>
        <w:ind w:left="731" w:right="0" w:hanging="36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[Our</w:t>
      </w:r>
      <w:r>
        <w:rPr>
          <w:rFonts w:ascii="Arial" w:hAnsi="Arial"/>
          <w:b/>
          <w:spacing w:val="-7"/>
          <w:sz w:val="22"/>
        </w:rPr>
        <w:t> </w:t>
      </w:r>
      <w:r>
        <w:rPr>
          <w:rFonts w:ascii="Arial" w:hAnsi="Arial"/>
          <w:b/>
          <w:sz w:val="22"/>
        </w:rPr>
        <w:t>complaints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pacing w:val="-2"/>
          <w:sz w:val="22"/>
        </w:rPr>
        <w:t>mechanism];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4" w:after="0"/>
        <w:ind w:left="731" w:right="0" w:hanging="36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[insert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other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e.g.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audits,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site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visits,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databases,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pacing w:val="-5"/>
          <w:sz w:val="22"/>
        </w:rPr>
        <w:t>…]</w:t>
      </w:r>
    </w:p>
    <w:p>
      <w:pPr>
        <w:pStyle w:val="BodyText"/>
        <w:spacing w:before="121"/>
        <w:ind w:left="23" w:right="14" w:firstLine="0"/>
        <w:jc w:val="both"/>
      </w:pPr>
      <w:r>
        <w:rPr/>
        <w:t>Any complaints or grievances related to non-compliance with this policy can be reported to </w:t>
      </w:r>
      <w:r>
        <w:rPr>
          <w:rFonts w:ascii="Arial"/>
          <w:b/>
        </w:rPr>
        <w:t>[Name</w:t>
      </w:r>
      <w:r>
        <w:rPr>
          <w:rFonts w:ascii="Arial"/>
          <w:b/>
          <w:spacing w:val="-10"/>
        </w:rPr>
        <w:t> </w:t>
      </w:r>
      <w:r>
        <w:rPr>
          <w:rFonts w:ascii="Arial"/>
          <w:b/>
        </w:rPr>
        <w:t>and</w:t>
      </w:r>
      <w:r>
        <w:rPr>
          <w:rFonts w:ascii="Arial"/>
          <w:b/>
          <w:spacing w:val="-10"/>
        </w:rPr>
        <w:t> </w:t>
      </w:r>
      <w:r>
        <w:rPr>
          <w:rFonts w:ascii="Arial"/>
          <w:b/>
        </w:rPr>
        <w:t>details]</w:t>
      </w:r>
      <w:r>
        <w:rPr>
          <w:rFonts w:ascii="Arial"/>
          <w:b/>
          <w:spacing w:val="-9"/>
        </w:rPr>
        <w:t> </w:t>
      </w:r>
      <w:r>
        <w:rPr/>
        <w:t>and/or</w:t>
      </w:r>
      <w:r>
        <w:rPr>
          <w:spacing w:val="-9"/>
        </w:rPr>
        <w:t> </w:t>
      </w:r>
      <w:r>
        <w:rPr/>
        <w:t>to</w:t>
      </w:r>
      <w:r>
        <w:rPr>
          <w:spacing w:val="-13"/>
        </w:rPr>
        <w:t> </w:t>
      </w:r>
      <w:r>
        <w:rPr/>
        <w:t>the</w:t>
      </w:r>
      <w:r>
        <w:rPr>
          <w:spacing w:val="-11"/>
        </w:rPr>
        <w:t> </w:t>
      </w:r>
      <w:r>
        <w:rPr/>
        <w:t>Head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Compliance</w:t>
      </w:r>
      <w:r>
        <w:rPr>
          <w:spacing w:val="-10"/>
        </w:rPr>
        <w:t> </w:t>
      </w:r>
      <w:r>
        <w:rPr/>
        <w:t>at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/>
        <w:t>Antwerp</w:t>
      </w:r>
      <w:r>
        <w:rPr>
          <w:spacing w:val="-13"/>
        </w:rPr>
        <w:t> </w:t>
      </w:r>
      <w:r>
        <w:rPr/>
        <w:t>World</w:t>
      </w:r>
      <w:r>
        <w:rPr>
          <w:spacing w:val="-10"/>
        </w:rPr>
        <w:t> </w:t>
      </w:r>
      <w:r>
        <w:rPr/>
        <w:t>Diamond</w:t>
      </w:r>
      <w:r>
        <w:rPr>
          <w:spacing w:val="-11"/>
        </w:rPr>
        <w:t> </w:t>
      </w:r>
      <w:r>
        <w:rPr/>
        <w:t>Centre, and will be assessed and kept confidential.</w:t>
      </w:r>
    </w:p>
    <w:p>
      <w:pPr>
        <w:pStyle w:val="BodyText"/>
        <w:spacing w:before="119"/>
        <w:ind w:left="23" w:right="16" w:firstLine="0"/>
        <w:jc w:val="both"/>
      </w:pPr>
      <w:r>
        <w:rPr/>
        <w:t>When we receive indications of non-compliance, we reach out to our business partner, and possibly to other stakeholders, to verify these indications, and (where necessary) take appropriate</w:t>
      </w:r>
      <w:r>
        <w:rPr>
          <w:spacing w:val="-16"/>
        </w:rPr>
        <w:t> </w:t>
      </w:r>
      <w:r>
        <w:rPr/>
        <w:t>corrective</w:t>
      </w:r>
      <w:r>
        <w:rPr>
          <w:spacing w:val="-13"/>
        </w:rPr>
        <w:t> </w:t>
      </w:r>
      <w:r>
        <w:rPr/>
        <w:t>action.</w:t>
      </w:r>
      <w:r>
        <w:rPr>
          <w:spacing w:val="-12"/>
        </w:rPr>
        <w:t> </w:t>
      </w:r>
      <w:r>
        <w:rPr/>
        <w:t>We</w:t>
      </w:r>
      <w:r>
        <w:rPr>
          <w:spacing w:val="-16"/>
        </w:rPr>
        <w:t> </w:t>
      </w:r>
      <w:r>
        <w:rPr/>
        <w:t>commit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working</w:t>
      </w:r>
      <w:r>
        <w:rPr>
          <w:spacing w:val="-14"/>
        </w:rPr>
        <w:t> </w:t>
      </w:r>
      <w:r>
        <w:rPr/>
        <w:t>together</w:t>
      </w:r>
      <w:r>
        <w:rPr>
          <w:spacing w:val="-13"/>
        </w:rPr>
        <w:t> </w:t>
      </w:r>
      <w:r>
        <w:rPr/>
        <w:t>with</w:t>
      </w:r>
      <w:r>
        <w:rPr>
          <w:spacing w:val="-14"/>
        </w:rPr>
        <w:t> </w:t>
      </w:r>
      <w:r>
        <w:rPr/>
        <w:t>business</w:t>
      </w:r>
      <w:r>
        <w:rPr>
          <w:spacing w:val="-13"/>
        </w:rPr>
        <w:t> </w:t>
      </w:r>
      <w:r>
        <w:rPr/>
        <w:t>partners</w:t>
      </w:r>
      <w:r>
        <w:rPr>
          <w:spacing w:val="-16"/>
        </w:rPr>
        <w:t> </w:t>
      </w:r>
      <w:r>
        <w:rPr/>
        <w:t>to</w:t>
      </w:r>
      <w:r>
        <w:rPr>
          <w:spacing w:val="-13"/>
        </w:rPr>
        <w:t> </w:t>
      </w:r>
      <w:r>
        <w:rPr/>
        <w:t>ensure compliance with this policy. However, repeated instances of non-compliance may lead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 (temporary or permanent) termination of a relationship.</w:t>
      </w:r>
    </w:p>
    <w:p>
      <w:pPr>
        <w:pStyle w:val="BodyText"/>
        <w:spacing w:before="144"/>
        <w:ind w:left="0" w:firstLine="0"/>
      </w:pPr>
    </w:p>
    <w:p>
      <w:pPr>
        <w:spacing w:line="252" w:lineRule="exact" w:before="0"/>
        <w:ind w:left="23" w:right="0" w:firstLine="0"/>
        <w:jc w:val="both"/>
        <w:rPr>
          <w:rFonts w:ascii="Arial"/>
          <w:b/>
          <w:sz w:val="22"/>
        </w:rPr>
      </w:pPr>
      <w:r>
        <w:rPr>
          <w:rFonts w:ascii="Arial"/>
          <w:b/>
          <w:sz w:val="22"/>
        </w:rPr>
        <w:t>[</w:t>
      </w:r>
      <w:r>
        <w:rPr>
          <w:rFonts w:ascii="Arial"/>
          <w:b/>
          <w:i/>
          <w:sz w:val="22"/>
        </w:rPr>
        <w:t>name</w:t>
      </w:r>
      <w:r>
        <w:rPr>
          <w:rFonts w:ascii="Arial"/>
          <w:b/>
          <w:i/>
          <w:spacing w:val="-8"/>
          <w:sz w:val="22"/>
        </w:rPr>
        <w:t> </w:t>
      </w:r>
      <w:r>
        <w:rPr>
          <w:rFonts w:ascii="Arial"/>
          <w:b/>
          <w:i/>
          <w:sz w:val="22"/>
        </w:rPr>
        <w:t>and</w:t>
      </w:r>
      <w:r>
        <w:rPr>
          <w:rFonts w:ascii="Arial"/>
          <w:b/>
          <w:i/>
          <w:spacing w:val="-3"/>
          <w:sz w:val="22"/>
        </w:rPr>
        <w:t> </w:t>
      </w:r>
      <w:r>
        <w:rPr>
          <w:rFonts w:ascii="Arial"/>
          <w:b/>
          <w:i/>
          <w:sz w:val="22"/>
        </w:rPr>
        <w:t>signature</w:t>
      </w:r>
      <w:r>
        <w:rPr>
          <w:rFonts w:ascii="Arial"/>
          <w:b/>
          <w:i/>
          <w:spacing w:val="-5"/>
          <w:sz w:val="22"/>
        </w:rPr>
        <w:t> </w:t>
      </w:r>
      <w:r>
        <w:rPr>
          <w:rFonts w:ascii="Arial"/>
          <w:b/>
          <w:i/>
          <w:sz w:val="22"/>
        </w:rPr>
        <w:t>of</w:t>
      </w:r>
      <w:r>
        <w:rPr>
          <w:rFonts w:ascii="Arial"/>
          <w:b/>
          <w:i/>
          <w:spacing w:val="-5"/>
          <w:sz w:val="22"/>
        </w:rPr>
        <w:t> </w:t>
      </w:r>
      <w:r>
        <w:rPr>
          <w:rFonts w:ascii="Arial"/>
          <w:b/>
          <w:i/>
          <w:sz w:val="22"/>
        </w:rPr>
        <w:t>person</w:t>
      </w:r>
      <w:r>
        <w:rPr>
          <w:rFonts w:ascii="Arial"/>
          <w:b/>
          <w:i/>
          <w:spacing w:val="-4"/>
          <w:sz w:val="22"/>
        </w:rPr>
        <w:t> </w:t>
      </w:r>
      <w:r>
        <w:rPr>
          <w:rFonts w:ascii="Arial"/>
          <w:b/>
          <w:i/>
          <w:sz w:val="22"/>
        </w:rPr>
        <w:t>responsible</w:t>
      </w:r>
      <w:r>
        <w:rPr>
          <w:rFonts w:ascii="Arial"/>
          <w:b/>
          <w:i/>
          <w:spacing w:val="-5"/>
          <w:sz w:val="22"/>
        </w:rPr>
        <w:t> </w:t>
      </w:r>
      <w:r>
        <w:rPr>
          <w:rFonts w:ascii="Arial"/>
          <w:b/>
          <w:i/>
          <w:sz w:val="22"/>
        </w:rPr>
        <w:t>for</w:t>
      </w:r>
      <w:r>
        <w:rPr>
          <w:rFonts w:ascii="Arial"/>
          <w:b/>
          <w:i/>
          <w:spacing w:val="-6"/>
          <w:sz w:val="22"/>
        </w:rPr>
        <w:t> </w:t>
      </w:r>
      <w:r>
        <w:rPr>
          <w:rFonts w:ascii="Arial"/>
          <w:b/>
          <w:i/>
          <w:sz w:val="22"/>
        </w:rPr>
        <w:t>due</w:t>
      </w:r>
      <w:r>
        <w:rPr>
          <w:rFonts w:ascii="Arial"/>
          <w:b/>
          <w:i/>
          <w:spacing w:val="-3"/>
          <w:sz w:val="22"/>
        </w:rPr>
        <w:t> </w:t>
      </w:r>
      <w:r>
        <w:rPr>
          <w:rFonts w:ascii="Arial"/>
          <w:b/>
          <w:i/>
          <w:sz w:val="22"/>
        </w:rPr>
        <w:t>diligence</w:t>
      </w:r>
      <w:r>
        <w:rPr>
          <w:rFonts w:ascii="Arial"/>
          <w:b/>
          <w:i/>
          <w:spacing w:val="-3"/>
          <w:sz w:val="22"/>
        </w:rPr>
        <w:t> </w:t>
      </w:r>
      <w:r>
        <w:rPr>
          <w:rFonts w:ascii="Arial"/>
          <w:b/>
          <w:i/>
          <w:sz w:val="22"/>
        </w:rPr>
        <w:t>and</w:t>
      </w:r>
      <w:r>
        <w:rPr>
          <w:rFonts w:ascii="Arial"/>
          <w:b/>
          <w:i/>
          <w:spacing w:val="-5"/>
          <w:sz w:val="22"/>
        </w:rPr>
        <w:t> </w:t>
      </w:r>
      <w:r>
        <w:rPr>
          <w:rFonts w:ascii="Arial"/>
          <w:b/>
          <w:i/>
          <w:spacing w:val="-2"/>
          <w:sz w:val="22"/>
        </w:rPr>
        <w:t>management</w:t>
      </w:r>
      <w:r>
        <w:rPr>
          <w:rFonts w:ascii="Arial"/>
          <w:b/>
          <w:spacing w:val="-2"/>
          <w:sz w:val="22"/>
        </w:rPr>
        <w:t>]</w:t>
      </w:r>
    </w:p>
    <w:p>
      <w:pPr>
        <w:spacing w:line="268" w:lineRule="exact" w:before="0"/>
        <w:ind w:left="23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[Date]</w:t>
      </w:r>
    </w:p>
    <w:sectPr>
      <w:pgSz w:w="11910" w:h="16840"/>
      <w:pgMar w:top="190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383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"/>
      <w:lvlJc w:val="left"/>
      <w:pPr>
        <w:ind w:left="73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6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383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"/>
      <w:lvlJc w:val="left"/>
      <w:pPr>
        <w:ind w:left="73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6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  <w:ind w:left="383" w:hanging="360"/>
    </w:pPr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Calibri Light" w:hAnsi="Calibri Light" w:eastAsia="Calibri Light" w:cs="Calibri Light"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731" w:hanging="36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Verbrugge</dc:creator>
  <dcterms:created xsi:type="dcterms:W3CDTF">2025-04-02T09:57:23Z</dcterms:created>
  <dcterms:modified xsi:type="dcterms:W3CDTF">2025-04-02T09:57:23Z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Word voor Microsoft 365</vt:lpwstr>
  </property>
</Properties>
</file>